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B4" w:rsidRDefault="005126B4" w:rsidP="005126B4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5126B4" w:rsidRDefault="005126B4" w:rsidP="005126B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5126B4" w:rsidRDefault="005126B4" w:rsidP="005126B4">
      <w:pPr>
        <w:shd w:val="clear" w:color="auto" w:fill="FFFFFF"/>
        <w:spacing w:before="209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5126B4" w:rsidRDefault="005126B4" w:rsidP="005126B4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1</w:t>
      </w:r>
      <w:r>
        <w:rPr>
          <w:rFonts w:ascii="Times New Roman" w:hAnsi="Times New Roman"/>
          <w:color w:val="000000"/>
          <w:spacing w:val="-2"/>
          <w:u w:val="single"/>
        </w:rPr>
        <w:t>9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марта   </w:t>
      </w:r>
      <w:r>
        <w:rPr>
          <w:rFonts w:ascii="Times New Roman" w:hAnsi="Times New Roman"/>
          <w:color w:val="000000"/>
        </w:rPr>
        <w:t xml:space="preserve">  2020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>№ 4</w:t>
      </w:r>
      <w:r>
        <w:rPr>
          <w:rFonts w:ascii="Times New Roman" w:hAnsi="Times New Roman"/>
          <w:color w:val="000000"/>
          <w:spacing w:val="-1"/>
        </w:rPr>
        <w:t>43</w:t>
      </w: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13270">
        <w:rPr>
          <w:rFonts w:ascii="Times New Roman" w:hAnsi="Times New Roman"/>
          <w:b/>
          <w:sz w:val="26"/>
          <w:szCs w:val="26"/>
        </w:rPr>
        <w:t xml:space="preserve">улицами Лодыгина, </w:t>
      </w:r>
      <w:r w:rsidR="00BE252E">
        <w:rPr>
          <w:rFonts w:ascii="Times New Roman" w:hAnsi="Times New Roman"/>
          <w:b/>
          <w:sz w:val="26"/>
          <w:szCs w:val="26"/>
        </w:rPr>
        <w:t>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                    ул. Титова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BE252E">
        <w:rPr>
          <w:rFonts w:ascii="Times New Roman" w:hAnsi="Times New Roman"/>
          <w:sz w:val="26"/>
          <w:szCs w:val="26"/>
        </w:rPr>
        <w:t>30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>января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7051CA">
        <w:rPr>
          <w:rFonts w:ascii="Times New Roman" w:hAnsi="Times New Roman"/>
          <w:sz w:val="26"/>
          <w:szCs w:val="26"/>
        </w:rPr>
        <w:t>1</w:t>
      </w:r>
      <w:r w:rsidR="00386D38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>235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7051CA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7051CA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BE252E" w:rsidRPr="00BE252E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</w:t>
      </w:r>
      <w:r w:rsidR="00AD7F5D">
        <w:rPr>
          <w:rFonts w:ascii="Times New Roman" w:hAnsi="Times New Roman"/>
          <w:sz w:val="26"/>
          <w:szCs w:val="26"/>
        </w:rPr>
        <w:t>»</w:t>
      </w:r>
      <w:r w:rsidR="007051CA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</w:t>
      </w:r>
      <w:r w:rsidR="00123D5D">
        <w:rPr>
          <w:rFonts w:ascii="Times New Roman" w:hAnsi="Times New Roman"/>
          <w:sz w:val="26"/>
          <w:szCs w:val="26"/>
        </w:rPr>
        <w:t xml:space="preserve">одского округа Саранск от </w:t>
      </w:r>
      <w:r w:rsidR="00BE252E">
        <w:rPr>
          <w:rFonts w:ascii="Times New Roman" w:hAnsi="Times New Roman"/>
          <w:sz w:val="26"/>
          <w:szCs w:val="26"/>
        </w:rPr>
        <w:t>24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>апреля</w:t>
      </w:r>
      <w:r w:rsidR="00123D5D">
        <w:rPr>
          <w:rFonts w:ascii="Times New Roman" w:hAnsi="Times New Roman"/>
          <w:sz w:val="26"/>
          <w:szCs w:val="26"/>
        </w:rPr>
        <w:t xml:space="preserve"> 201</w:t>
      </w:r>
      <w:r w:rsidR="00BE252E">
        <w:rPr>
          <w:rFonts w:ascii="Times New Roman" w:hAnsi="Times New Roman"/>
          <w:sz w:val="26"/>
          <w:szCs w:val="26"/>
        </w:rPr>
        <w:t>9</w:t>
      </w:r>
      <w:r w:rsidR="00123D5D">
        <w:rPr>
          <w:rFonts w:ascii="Times New Roman" w:hAnsi="Times New Roman"/>
          <w:sz w:val="26"/>
          <w:szCs w:val="26"/>
        </w:rPr>
        <w:t xml:space="preserve"> года № </w:t>
      </w:r>
      <w:r w:rsidR="00BE252E">
        <w:rPr>
          <w:rFonts w:ascii="Times New Roman" w:hAnsi="Times New Roman"/>
          <w:sz w:val="26"/>
          <w:szCs w:val="26"/>
        </w:rPr>
        <w:t>808</w:t>
      </w:r>
      <w:r w:rsidR="00123D5D">
        <w:rPr>
          <w:rFonts w:ascii="Times New Roman" w:hAnsi="Times New Roman"/>
          <w:sz w:val="26"/>
          <w:szCs w:val="26"/>
        </w:rPr>
        <w:t>,</w:t>
      </w:r>
      <w:r w:rsidR="00BE252E">
        <w:rPr>
          <w:rFonts w:ascii="Times New Roman" w:hAnsi="Times New Roman"/>
          <w:sz w:val="26"/>
          <w:szCs w:val="26"/>
        </w:rPr>
        <w:t xml:space="preserve"> от 20 августа 2019 года               № 1521</w:t>
      </w:r>
      <w:r w:rsidR="00123D5D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BE252E">
        <w:rPr>
          <w:rFonts w:ascii="Times New Roman" w:hAnsi="Times New Roman"/>
          <w:sz w:val="26"/>
          <w:szCs w:val="26"/>
        </w:rPr>
        <w:t>10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>июня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BE252E">
        <w:rPr>
          <w:rFonts w:ascii="Times New Roman" w:hAnsi="Times New Roman"/>
          <w:sz w:val="26"/>
          <w:szCs w:val="26"/>
        </w:rPr>
        <w:t xml:space="preserve">         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BE252E">
        <w:rPr>
          <w:rFonts w:ascii="Times New Roman" w:hAnsi="Times New Roman"/>
          <w:sz w:val="26"/>
          <w:szCs w:val="26"/>
        </w:rPr>
        <w:t>1075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E252E" w:rsidRPr="00BE252E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</w:t>
      </w:r>
      <w:r w:rsidR="00BE252E">
        <w:rPr>
          <w:rFonts w:ascii="Times New Roman" w:hAnsi="Times New Roman"/>
          <w:sz w:val="26"/>
          <w:szCs w:val="26"/>
        </w:rPr>
        <w:t xml:space="preserve"> </w:t>
      </w:r>
      <w:r w:rsidR="00BE252E" w:rsidRPr="00BE252E">
        <w:rPr>
          <w:rFonts w:ascii="Times New Roman" w:hAnsi="Times New Roman"/>
          <w:sz w:val="26"/>
          <w:szCs w:val="26"/>
        </w:rPr>
        <w:t xml:space="preserve">ул. Титова </w:t>
      </w:r>
      <w:r w:rsidR="00BE252E">
        <w:rPr>
          <w:rFonts w:ascii="Times New Roman" w:hAnsi="Times New Roman"/>
          <w:sz w:val="26"/>
          <w:szCs w:val="26"/>
        </w:rPr>
        <w:t xml:space="preserve">           </w:t>
      </w:r>
      <w:r w:rsidR="00BE252E" w:rsidRPr="00BE252E">
        <w:rPr>
          <w:rFonts w:ascii="Times New Roman" w:hAnsi="Times New Roman"/>
          <w:sz w:val="26"/>
          <w:szCs w:val="26"/>
        </w:rPr>
        <w:t>г. Саранска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28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августа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123D5D">
        <w:rPr>
          <w:rFonts w:ascii="Times New Roman" w:hAnsi="Times New Roman"/>
          <w:sz w:val="26"/>
          <w:szCs w:val="26"/>
        </w:rPr>
        <w:t>47</w:t>
      </w:r>
      <w:r w:rsidR="00BE252E">
        <w:rPr>
          <w:rFonts w:ascii="Times New Roman" w:hAnsi="Times New Roman"/>
          <w:sz w:val="26"/>
          <w:szCs w:val="26"/>
        </w:rPr>
        <w:t>8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п</w:t>
      </w:r>
      <w:r w:rsidR="00F35867">
        <w:rPr>
          <w:rFonts w:ascii="Times New Roman" w:hAnsi="Times New Roman"/>
          <w:sz w:val="26"/>
          <w:szCs w:val="26"/>
        </w:rPr>
        <w:t>о 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E252E" w:rsidRPr="00BE252E">
        <w:rPr>
          <w:rFonts w:ascii="Times New Roman" w:hAnsi="Times New Roman"/>
          <w:sz w:val="26"/>
          <w:szCs w:val="26"/>
        </w:rPr>
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</w:t>
      </w:r>
      <w:r w:rsidR="00BE252E" w:rsidRPr="00BE252E">
        <w:rPr>
          <w:rFonts w:ascii="Times New Roman" w:hAnsi="Times New Roman"/>
          <w:sz w:val="26"/>
          <w:szCs w:val="26"/>
        </w:rPr>
        <w:lastRenderedPageBreak/>
        <w:t>размещения объекта коммунального обслуживания «КТП», расположенного в районе                     ул. Титова 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>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BE252E" w:rsidRPr="00BE252E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</w:t>
      </w:r>
      <w:r w:rsidR="00BE252E">
        <w:rPr>
          <w:rFonts w:ascii="Times New Roman" w:hAnsi="Times New Roman"/>
          <w:sz w:val="26"/>
          <w:szCs w:val="26"/>
        </w:rPr>
        <w:t xml:space="preserve"> </w:t>
      </w:r>
      <w:r w:rsidR="00BE252E" w:rsidRPr="00BE252E">
        <w:rPr>
          <w:rFonts w:ascii="Times New Roman" w:hAnsi="Times New Roman"/>
          <w:sz w:val="26"/>
          <w:szCs w:val="26"/>
        </w:rPr>
        <w:t>ул. Титова 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30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сентября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CD5E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CD5E42">
        <w:rPr>
          <w:rFonts w:ascii="Times New Roman" w:hAnsi="Times New Roman"/>
          <w:sz w:val="26"/>
          <w:szCs w:val="26"/>
        </w:rPr>
        <w:t>ы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CD5E42">
        <w:rPr>
          <w:rFonts w:ascii="Times New Roman" w:hAnsi="Times New Roman"/>
          <w:sz w:val="26"/>
          <w:szCs w:val="26"/>
        </w:rPr>
        <w:t>7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CD5E42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CD5E42">
        <w:rPr>
          <w:rFonts w:ascii="Times New Roman" w:hAnsi="Times New Roman"/>
          <w:sz w:val="26"/>
          <w:szCs w:val="26"/>
        </w:rPr>
        <w:t>35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5D15AA" w:rsidRPr="005D15AA">
        <w:rPr>
          <w:rFonts w:ascii="Times New Roman" w:hAnsi="Times New Roman"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</w:t>
      </w:r>
      <w:r w:rsidR="005D15AA">
        <w:rPr>
          <w:rFonts w:ascii="Times New Roman" w:hAnsi="Times New Roman"/>
          <w:sz w:val="26"/>
          <w:szCs w:val="26"/>
        </w:rPr>
        <w:t xml:space="preserve"> </w:t>
      </w:r>
      <w:r w:rsidR="005D15AA" w:rsidRPr="005D15AA">
        <w:rPr>
          <w:rFonts w:ascii="Times New Roman" w:hAnsi="Times New Roman"/>
          <w:sz w:val="26"/>
          <w:szCs w:val="26"/>
        </w:rPr>
        <w:t>ул. Титова г. Саранска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5D15AA">
        <w:rPr>
          <w:rFonts w:ascii="Times New Roman" w:hAnsi="Times New Roman"/>
          <w:sz w:val="26"/>
          <w:szCs w:val="26"/>
        </w:rPr>
        <w:t>АО ТФ «Ватт»).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5126B4">
        <w:rPr>
          <w:rFonts w:ascii="Times New Roman" w:hAnsi="Times New Roman"/>
          <w:sz w:val="26"/>
          <w:szCs w:val="26"/>
        </w:rPr>
        <w:t>19</w:t>
      </w:r>
      <w:r w:rsidRPr="00A72F8B">
        <w:rPr>
          <w:rFonts w:ascii="Times New Roman" w:hAnsi="Times New Roman"/>
          <w:sz w:val="26"/>
          <w:szCs w:val="26"/>
        </w:rPr>
        <w:t>»</w:t>
      </w:r>
      <w:r w:rsidR="005126B4">
        <w:rPr>
          <w:rFonts w:ascii="Times New Roman" w:hAnsi="Times New Roman"/>
          <w:sz w:val="26"/>
          <w:szCs w:val="26"/>
        </w:rPr>
        <w:t xml:space="preserve"> марта 2</w:t>
      </w:r>
      <w:r w:rsidR="00AB29E1" w:rsidRPr="00A72F8B">
        <w:rPr>
          <w:rFonts w:ascii="Times New Roman" w:hAnsi="Times New Roman"/>
          <w:sz w:val="26"/>
          <w:szCs w:val="26"/>
        </w:rPr>
        <w:t>0</w:t>
      </w:r>
      <w:r w:rsidR="00C222EF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5126B4">
        <w:rPr>
          <w:rFonts w:ascii="Times New Roman" w:hAnsi="Times New Roman"/>
          <w:sz w:val="26"/>
          <w:szCs w:val="26"/>
        </w:rPr>
        <w:t>443</w:t>
      </w:r>
      <w:bookmarkStart w:id="0" w:name="_GoBack"/>
      <w:bookmarkEnd w:id="0"/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D57A13" w:rsidRPr="00A72F8B" w:rsidRDefault="00D57A13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8B2186" w:rsidRDefault="00A72F8B" w:rsidP="008B218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5D15AA">
        <w:rPr>
          <w:rFonts w:ascii="Times New Roman" w:hAnsi="Times New Roman"/>
          <w:b/>
          <w:sz w:val="26"/>
          <w:szCs w:val="26"/>
        </w:rPr>
        <w:t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                г. Саранска</w:t>
      </w:r>
    </w:p>
    <w:p w:rsidR="00386D38" w:rsidRPr="00837C50" w:rsidRDefault="00386D38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128C4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CD5E4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планировочной </w:t>
            </w:r>
            <w:r w:rsidR="00CD5E42">
              <w:rPr>
                <w:rFonts w:ascii="Times New Roman" w:hAnsi="Times New Roman"/>
                <w:sz w:val="26"/>
                <w:szCs w:val="26"/>
              </w:rPr>
              <w:t>структуры,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E42"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8B2186" w:rsidRPr="00952EF8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5D15A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F1078" w:rsidRPr="00952EF8" w:rsidTr="00CD5E42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Pr="00952EF8" w:rsidRDefault="000F1078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0F107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5D15A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5D15AA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11" w:rsidRDefault="00FE3A11" w:rsidP="009D49DC">
      <w:pPr>
        <w:spacing w:after="0" w:line="240" w:lineRule="auto"/>
      </w:pPr>
      <w:r>
        <w:separator/>
      </w:r>
    </w:p>
  </w:endnote>
  <w:endnote w:type="continuationSeparator" w:id="0">
    <w:p w:rsidR="00FE3A11" w:rsidRDefault="00FE3A11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A4D2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11" w:rsidRDefault="00FE3A11" w:rsidP="009D49DC">
      <w:pPr>
        <w:spacing w:after="0" w:line="240" w:lineRule="auto"/>
      </w:pPr>
      <w:r>
        <w:separator/>
      </w:r>
    </w:p>
  </w:footnote>
  <w:footnote w:type="continuationSeparator" w:id="0">
    <w:p w:rsidR="00FE3A11" w:rsidRDefault="00FE3A11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3029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97E6A"/>
    <w:rsid w:val="000A2361"/>
    <w:rsid w:val="000A272E"/>
    <w:rsid w:val="000A6334"/>
    <w:rsid w:val="000B2524"/>
    <w:rsid w:val="000B4D0D"/>
    <w:rsid w:val="000B4F8D"/>
    <w:rsid w:val="000B53AA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3595"/>
    <w:rsid w:val="002F5980"/>
    <w:rsid w:val="002F6133"/>
    <w:rsid w:val="002F6A3C"/>
    <w:rsid w:val="003032F9"/>
    <w:rsid w:val="00305490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86D38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128C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26B4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F91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D15AA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051CA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062C6"/>
    <w:rsid w:val="00810BB3"/>
    <w:rsid w:val="00813270"/>
    <w:rsid w:val="008213EB"/>
    <w:rsid w:val="008214E6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A4D2D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0AAC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71E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252E"/>
    <w:rsid w:val="00BE3393"/>
    <w:rsid w:val="00BE3E1E"/>
    <w:rsid w:val="00BE7BF4"/>
    <w:rsid w:val="00BF11AB"/>
    <w:rsid w:val="00BF2937"/>
    <w:rsid w:val="00BF33BF"/>
    <w:rsid w:val="00BF39B4"/>
    <w:rsid w:val="00BF3BD2"/>
    <w:rsid w:val="00C01FEC"/>
    <w:rsid w:val="00C06D09"/>
    <w:rsid w:val="00C06EBE"/>
    <w:rsid w:val="00C10D11"/>
    <w:rsid w:val="00C1132B"/>
    <w:rsid w:val="00C14439"/>
    <w:rsid w:val="00C157C8"/>
    <w:rsid w:val="00C222EF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57A13"/>
    <w:rsid w:val="00D61FCC"/>
    <w:rsid w:val="00D6380C"/>
    <w:rsid w:val="00D652B1"/>
    <w:rsid w:val="00D673F5"/>
    <w:rsid w:val="00D71E8D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36E66"/>
    <w:rsid w:val="00E410C2"/>
    <w:rsid w:val="00E441A3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2D7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B6F6C"/>
    <w:rsid w:val="00FC098D"/>
    <w:rsid w:val="00FC7F22"/>
    <w:rsid w:val="00FD3E00"/>
    <w:rsid w:val="00FD42E2"/>
    <w:rsid w:val="00FE2763"/>
    <w:rsid w:val="00FE380E"/>
    <w:rsid w:val="00FE3A11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2AFE"/>
  <w15:docId w15:val="{E6546C38-849E-426B-B6C6-960009E2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829E-B63E-4AF7-A426-8A406D39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7038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165</cp:revision>
  <cp:lastPrinted>2019-12-02T10:46:00Z</cp:lastPrinted>
  <dcterms:created xsi:type="dcterms:W3CDTF">2014-05-27T07:47:00Z</dcterms:created>
  <dcterms:modified xsi:type="dcterms:W3CDTF">2020-03-19T11:39:00Z</dcterms:modified>
</cp:coreProperties>
</file>