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BF" w:rsidRDefault="00C03CBF" w:rsidP="00C03CB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C03CBF" w:rsidRDefault="00C03CBF" w:rsidP="00C03CB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03CBF" w:rsidRDefault="00C03CBF" w:rsidP="00C03CB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03CBF" w:rsidRDefault="00C03CBF" w:rsidP="00C03CB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27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февраля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414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6C3F" w:rsidRPr="00F76C3F" w:rsidRDefault="00710597" w:rsidP="0082374A">
      <w:pPr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проспектом 70 лет Октября,                               ул. Ухтомского, ул. Циолковского, пер. Иркутский, ул. Волгоградская,                        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</w:t>
      </w:r>
    </w:p>
    <w:p w:rsidR="00F76C3F" w:rsidRPr="00F76C3F" w:rsidRDefault="00F76C3F" w:rsidP="0082374A">
      <w:pPr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>расположенных по адресу: г. Саранск, ул. Борина, 34, 36</w:t>
      </w:r>
    </w:p>
    <w:p w:rsidR="00E918AD" w:rsidRPr="00F76C3F" w:rsidRDefault="00E918AD" w:rsidP="0082374A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B5744" w:rsidRPr="005B7DE9" w:rsidRDefault="005B7DE9" w:rsidP="005F26E2">
      <w:pPr>
        <w:ind w:left="142" w:firstLine="566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DC03A4">
        <w:rPr>
          <w:rFonts w:ascii="Times New Roman" w:hAnsi="Times New Roman"/>
          <w:sz w:val="27"/>
          <w:szCs w:val="27"/>
        </w:rPr>
        <w:t xml:space="preserve">, </w:t>
      </w:r>
      <w:r w:rsidR="00EE1D8B" w:rsidRPr="00DC03A4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DC03A4">
        <w:rPr>
          <w:rFonts w:ascii="Times New Roman" w:hAnsi="Times New Roman"/>
          <w:sz w:val="27"/>
          <w:szCs w:val="27"/>
        </w:rPr>
        <w:t xml:space="preserve">от </w:t>
      </w:r>
      <w:r w:rsidR="00F76C3F">
        <w:rPr>
          <w:rFonts w:ascii="Times New Roman" w:hAnsi="Times New Roman"/>
          <w:sz w:val="27"/>
          <w:szCs w:val="27"/>
        </w:rPr>
        <w:t>8 октября 2012</w:t>
      </w:r>
      <w:r w:rsidR="00976481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 xml:space="preserve"> № </w:t>
      </w:r>
      <w:r w:rsidR="00F76C3F">
        <w:rPr>
          <w:rFonts w:ascii="Times New Roman" w:hAnsi="Times New Roman"/>
          <w:sz w:val="27"/>
          <w:szCs w:val="27"/>
        </w:rPr>
        <w:t>3402</w:t>
      </w:r>
      <w:r w:rsidR="000C7EAF" w:rsidRPr="00DC03A4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DC03A4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="00F76C3F" w:rsidRPr="00F76C3F">
        <w:rPr>
          <w:rFonts w:ascii="Times New Roman" w:hAnsi="Times New Roman"/>
          <w:sz w:val="27"/>
          <w:szCs w:val="27"/>
        </w:rPr>
        <w:t xml:space="preserve">ограниченной проспектом 70 лет Октября, </w:t>
      </w:r>
      <w:r w:rsidR="00F76C3F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>ул. Ухтомского, ул. Циолковского, пер</w:t>
      </w:r>
      <w:r w:rsidR="00F76C3F">
        <w:rPr>
          <w:rFonts w:ascii="Times New Roman" w:hAnsi="Times New Roman"/>
          <w:sz w:val="27"/>
          <w:szCs w:val="27"/>
        </w:rPr>
        <w:t xml:space="preserve">. Иркутский, </w:t>
      </w:r>
      <w:r w:rsidR="005F26E2">
        <w:rPr>
          <w:rFonts w:ascii="Times New Roman" w:hAnsi="Times New Roman"/>
          <w:sz w:val="27"/>
          <w:szCs w:val="27"/>
        </w:rPr>
        <w:t xml:space="preserve">            </w:t>
      </w:r>
      <w:r w:rsidR="00F76C3F">
        <w:rPr>
          <w:rFonts w:ascii="Times New Roman" w:hAnsi="Times New Roman"/>
          <w:sz w:val="27"/>
          <w:szCs w:val="27"/>
        </w:rPr>
        <w:t xml:space="preserve">ул. Волгоградская, </w:t>
      </w:r>
      <w:r w:rsidR="00F76C3F" w:rsidRPr="00F76C3F">
        <w:rPr>
          <w:rFonts w:ascii="Times New Roman" w:hAnsi="Times New Roman"/>
          <w:sz w:val="27"/>
          <w:szCs w:val="27"/>
        </w:rPr>
        <w:t>ул. Косарева г. Саранска, включая проект межевания</w:t>
      </w:r>
      <w:r w:rsidR="00AB5744" w:rsidRPr="00DC03A4">
        <w:rPr>
          <w:rFonts w:ascii="Times New Roman" w:hAnsi="Times New Roman"/>
          <w:sz w:val="27"/>
          <w:szCs w:val="27"/>
        </w:rPr>
        <w:t>»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D95501" w:rsidRPr="00DC03A4">
        <w:rPr>
          <w:rFonts w:ascii="Times New Roman" w:hAnsi="Times New Roman"/>
          <w:sz w:val="27"/>
          <w:szCs w:val="27"/>
        </w:rPr>
        <w:t>(с измен</w:t>
      </w:r>
      <w:r>
        <w:rPr>
          <w:rFonts w:ascii="Times New Roman" w:hAnsi="Times New Roman"/>
          <w:sz w:val="27"/>
          <w:szCs w:val="27"/>
        </w:rPr>
        <w:t>ениями, внесенными постановления</w:t>
      </w:r>
      <w:r w:rsidR="004152FF" w:rsidRPr="00DC03A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и</w:t>
      </w:r>
      <w:r w:rsidR="00D95501" w:rsidRPr="00DC03A4">
        <w:rPr>
          <w:rFonts w:ascii="Times New Roman" w:hAnsi="Times New Roman"/>
          <w:sz w:val="27"/>
          <w:szCs w:val="27"/>
        </w:rPr>
        <w:t xml:space="preserve"> Администрации</w:t>
      </w:r>
      <w:r w:rsidR="00E918AD" w:rsidRPr="00DC03A4">
        <w:rPr>
          <w:rFonts w:ascii="Times New Roman" w:hAnsi="Times New Roman"/>
          <w:sz w:val="27"/>
          <w:szCs w:val="27"/>
        </w:rPr>
        <w:t xml:space="preserve"> городского округа Саранск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F76C3F">
        <w:rPr>
          <w:rFonts w:ascii="Times New Roman" w:hAnsi="Times New Roman"/>
          <w:sz w:val="27"/>
          <w:szCs w:val="27"/>
        </w:rPr>
        <w:t>1 февраля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2017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F76C3F">
        <w:rPr>
          <w:rFonts w:ascii="Times New Roman" w:hAnsi="Times New Roman"/>
          <w:sz w:val="27"/>
          <w:szCs w:val="27"/>
        </w:rPr>
        <w:t>213</w:t>
      </w:r>
      <w:r w:rsidR="00AC0BFC">
        <w:rPr>
          <w:rFonts w:ascii="Times New Roman" w:hAnsi="Times New Roman"/>
          <w:sz w:val="27"/>
          <w:szCs w:val="27"/>
        </w:rPr>
        <w:t xml:space="preserve">, </w:t>
      </w:r>
      <w:r w:rsidR="00C2104E" w:rsidRPr="00DC03A4">
        <w:rPr>
          <w:rFonts w:ascii="Times New Roman" w:hAnsi="Times New Roman"/>
          <w:sz w:val="27"/>
          <w:szCs w:val="27"/>
        </w:rPr>
        <w:t xml:space="preserve">от </w:t>
      </w:r>
      <w:r w:rsidR="00F76C3F">
        <w:rPr>
          <w:rFonts w:ascii="Times New Roman" w:hAnsi="Times New Roman"/>
          <w:sz w:val="27"/>
          <w:szCs w:val="27"/>
        </w:rPr>
        <w:t>10 июля</w:t>
      </w:r>
      <w:r w:rsidR="00C2104E">
        <w:rPr>
          <w:rFonts w:ascii="Times New Roman" w:hAnsi="Times New Roman"/>
          <w:sz w:val="27"/>
          <w:szCs w:val="27"/>
        </w:rPr>
        <w:t xml:space="preserve"> 2017</w:t>
      </w:r>
      <w:r w:rsidR="00C2104E" w:rsidRPr="00DC03A4">
        <w:rPr>
          <w:rFonts w:ascii="Times New Roman" w:hAnsi="Times New Roman"/>
          <w:sz w:val="27"/>
          <w:szCs w:val="27"/>
        </w:rPr>
        <w:t xml:space="preserve"> года № </w:t>
      </w:r>
      <w:r w:rsidR="00F76C3F">
        <w:rPr>
          <w:rFonts w:ascii="Times New Roman" w:hAnsi="Times New Roman"/>
          <w:sz w:val="27"/>
          <w:szCs w:val="27"/>
        </w:rPr>
        <w:t>1455</w:t>
      </w:r>
      <w:r w:rsidR="00D95501" w:rsidRPr="00DC03A4">
        <w:rPr>
          <w:rFonts w:ascii="Times New Roman" w:hAnsi="Times New Roman"/>
          <w:sz w:val="27"/>
          <w:szCs w:val="27"/>
        </w:rPr>
        <w:t xml:space="preserve">),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 w:rsidR="00F76C3F">
        <w:rPr>
          <w:rFonts w:ascii="Times New Roman" w:hAnsi="Times New Roman"/>
          <w:sz w:val="27"/>
          <w:szCs w:val="27"/>
        </w:rPr>
        <w:t>3 декабря                 2018 года № 2769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>документации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                       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F76C3F">
        <w:rPr>
          <w:rFonts w:ascii="Times New Roman" w:hAnsi="Times New Roman"/>
          <w:sz w:val="27"/>
          <w:szCs w:val="27"/>
        </w:rPr>
        <w:t>24 декабря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2018 года </w:t>
      </w:r>
      <w:r w:rsidR="00C2104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F76C3F">
        <w:rPr>
          <w:rFonts w:ascii="Times New Roman" w:hAnsi="Times New Roman"/>
          <w:sz w:val="27"/>
          <w:szCs w:val="27"/>
        </w:rPr>
        <w:t>443</w:t>
      </w:r>
      <w:r>
        <w:rPr>
          <w:rFonts w:ascii="Times New Roman" w:hAnsi="Times New Roman"/>
          <w:sz w:val="27"/>
          <w:szCs w:val="27"/>
        </w:rPr>
        <w:t xml:space="preserve">-ПГ « О вынесении на публичные слушания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</w:t>
      </w:r>
      <w:r w:rsidR="00F76C3F">
        <w:rPr>
          <w:rFonts w:ascii="Times New Roman" w:hAnsi="Times New Roman"/>
          <w:sz w:val="27"/>
          <w:szCs w:val="27"/>
        </w:rPr>
        <w:t xml:space="preserve">проспектом 70 лет Октября, </w:t>
      </w:r>
      <w:r w:rsidR="00F76C3F" w:rsidRPr="00F76C3F">
        <w:rPr>
          <w:rFonts w:ascii="Times New Roman" w:hAnsi="Times New Roman"/>
          <w:sz w:val="27"/>
          <w:szCs w:val="27"/>
        </w:rPr>
        <w:lastRenderedPageBreak/>
        <w:t xml:space="preserve">ул. Ухтомского, ул. Циолковского, пер. Иркутский, 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ул. </w:t>
      </w:r>
      <w:r w:rsidR="00F76C3F">
        <w:rPr>
          <w:rFonts w:ascii="Times New Roman" w:hAnsi="Times New Roman"/>
          <w:sz w:val="27"/>
          <w:szCs w:val="27"/>
        </w:rPr>
        <w:t>Волгоградская,</w:t>
      </w:r>
      <w:r w:rsidR="00F76C3F" w:rsidRPr="00F76C3F">
        <w:rPr>
          <w:rFonts w:ascii="Times New Roman" w:hAnsi="Times New Roman"/>
          <w:sz w:val="27"/>
          <w:szCs w:val="27"/>
        </w:rPr>
        <w:t xml:space="preserve">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по документации </w:t>
      </w:r>
      <w:r w:rsidR="000D42CC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>по внесению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82374A" w:rsidRPr="00F76C3F">
        <w:rPr>
          <w:rFonts w:ascii="Times New Roman" w:hAnsi="Times New Roman"/>
          <w:sz w:val="27"/>
          <w:szCs w:val="27"/>
        </w:rPr>
        <w:t>(проект планировки территории, проект межевания территории)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82374A">
        <w:rPr>
          <w:rFonts w:ascii="Times New Roman" w:hAnsi="Times New Roman"/>
          <w:sz w:val="27"/>
          <w:szCs w:val="27"/>
        </w:rPr>
        <w:t>1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r w:rsidR="0082374A">
        <w:rPr>
          <w:rFonts w:ascii="Times New Roman" w:hAnsi="Times New Roman"/>
          <w:sz w:val="27"/>
          <w:szCs w:val="27"/>
        </w:rPr>
        <w:t>20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DF0A62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82374A">
        <w:rPr>
          <w:rFonts w:ascii="Times New Roman" w:hAnsi="Times New Roman"/>
          <w:sz w:val="27"/>
          <w:szCs w:val="27"/>
        </w:rPr>
        <w:t>7 (138</w:t>
      </w:r>
      <w:r w:rsidR="00DF0A62">
        <w:rPr>
          <w:rFonts w:ascii="Times New Roman" w:hAnsi="Times New Roman"/>
          <w:sz w:val="27"/>
          <w:szCs w:val="27"/>
        </w:rPr>
        <w:t>0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DC03A4" w:rsidRDefault="00766C2E" w:rsidP="0082374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82374A" w:rsidRPr="00F76C3F">
        <w:rPr>
          <w:rFonts w:ascii="Times New Roman" w:hAnsi="Times New Roman"/>
          <w:sz w:val="27"/>
          <w:szCs w:val="27"/>
        </w:rPr>
        <w:t>документации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82374A">
        <w:rPr>
          <w:rFonts w:ascii="Times New Roman" w:hAnsi="Times New Roman"/>
          <w:sz w:val="27"/>
          <w:szCs w:val="27"/>
        </w:rPr>
        <w:t>Неяскина</w:t>
      </w:r>
      <w:proofErr w:type="spellEnd"/>
      <w:r w:rsidR="0082374A">
        <w:rPr>
          <w:rFonts w:ascii="Times New Roman" w:hAnsi="Times New Roman"/>
          <w:sz w:val="27"/>
          <w:szCs w:val="27"/>
        </w:rPr>
        <w:t xml:space="preserve"> Т.В.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82374A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2374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Pr="00DC03A4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8E48E1">
        <w:rPr>
          <w:rFonts w:ascii="Times New Roman" w:hAnsi="Times New Roman"/>
          <w:sz w:val="27"/>
          <w:szCs w:val="27"/>
        </w:rPr>
        <w:t>27</w:t>
      </w:r>
      <w:r w:rsidRPr="00DC03A4">
        <w:rPr>
          <w:rFonts w:ascii="Times New Roman" w:hAnsi="Times New Roman"/>
          <w:sz w:val="27"/>
          <w:szCs w:val="27"/>
        </w:rPr>
        <w:t>»</w:t>
      </w:r>
      <w:r w:rsidR="008E48E1">
        <w:rPr>
          <w:rFonts w:ascii="Times New Roman" w:hAnsi="Times New Roman"/>
          <w:sz w:val="27"/>
          <w:szCs w:val="27"/>
        </w:rPr>
        <w:t xml:space="preserve"> февраля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8E48E1">
        <w:rPr>
          <w:rFonts w:ascii="Times New Roman" w:hAnsi="Times New Roman"/>
          <w:sz w:val="27"/>
          <w:szCs w:val="27"/>
        </w:rPr>
        <w:t>414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7E3408" w:rsidRDefault="00C64E83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по внесению изменений в документацию по планировке территории, ограниченной проспектом 70 лет Октября, ул. Ухтомского, </w:t>
      </w:r>
      <w:r w:rsidR="0082374A">
        <w:rPr>
          <w:rFonts w:ascii="Times New Roman" w:hAnsi="Times New Roman"/>
          <w:b/>
          <w:sz w:val="27"/>
          <w:szCs w:val="27"/>
        </w:rPr>
        <w:t xml:space="preserve">                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ул. Циолковского, пер. Иркутский, ул. Волгоградская, </w:t>
      </w:r>
      <w:r w:rsidR="0082374A">
        <w:rPr>
          <w:rFonts w:ascii="Times New Roman" w:hAnsi="Times New Roman"/>
          <w:b/>
          <w:sz w:val="27"/>
          <w:szCs w:val="27"/>
        </w:rPr>
        <w:t xml:space="preserve"> </w:t>
      </w:r>
      <w:r w:rsidR="0082374A" w:rsidRPr="0082374A">
        <w:rPr>
          <w:rFonts w:ascii="Times New Roman" w:hAnsi="Times New Roman"/>
          <w:b/>
          <w:sz w:val="27"/>
          <w:szCs w:val="27"/>
        </w:rPr>
        <w:t>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</w:r>
    </w:p>
    <w:p w:rsidR="0082374A" w:rsidRDefault="0082374A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9D1ABD" w:rsidRPr="0082374A" w:rsidRDefault="009D1ABD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67E90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67E9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67E90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67E9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82374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Default="0082374A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</w:t>
            </w:r>
          </w:p>
        </w:tc>
      </w:tr>
      <w:tr w:rsidR="0082374A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Pr="00DC03A4" w:rsidRDefault="0082374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4A" w:rsidRDefault="0082374A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размещения элемента планировочной структуры </w:t>
            </w:r>
          </w:p>
        </w:tc>
      </w:tr>
      <w:tr w:rsidR="00415827" w:rsidRPr="00DC03A4" w:rsidTr="00415827">
        <w:trPr>
          <w:cantSplit/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EA66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местоположения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415827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EA66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с особыми условиями использования территории М 1:500</w:t>
            </w:r>
          </w:p>
        </w:tc>
      </w:tr>
      <w:tr w:rsidR="00415827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EA66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9D1ABD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D" w:rsidRDefault="009D1ABD" w:rsidP="00EA66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D" w:rsidRDefault="009D1ABD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1:500</w:t>
            </w:r>
          </w:p>
        </w:tc>
      </w:tr>
      <w:tr w:rsidR="009D1ABD" w:rsidRPr="00DC03A4" w:rsidTr="00415827">
        <w:trPr>
          <w:cantSplit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D" w:rsidRDefault="009D1ABD" w:rsidP="00EA66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D" w:rsidRDefault="009D1ABD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организации движения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транспорта  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пешеходов М 1:500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7E127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9D1ABD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proofErr w:type="gramStart"/>
            <w:r w:rsidR="009D1ABD">
              <w:rPr>
                <w:rFonts w:ascii="Times New Roman" w:hAnsi="Times New Roman"/>
                <w:sz w:val="27"/>
                <w:szCs w:val="27"/>
              </w:rPr>
              <w:t>территории  М</w:t>
            </w:r>
            <w:proofErr w:type="gramEnd"/>
            <w:r w:rsidR="009D1ABD">
              <w:rPr>
                <w:rFonts w:ascii="Times New Roman" w:hAnsi="Times New Roman"/>
                <w:sz w:val="27"/>
                <w:szCs w:val="27"/>
              </w:rPr>
              <w:t xml:space="preserve">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0C0A4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415827" w:rsidP="008D5E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 </w:t>
            </w:r>
            <w:r w:rsidR="009D1ABD">
              <w:rPr>
                <w:rFonts w:ascii="Times New Roman" w:hAnsi="Times New Roman"/>
                <w:sz w:val="27"/>
                <w:szCs w:val="27"/>
              </w:rPr>
              <w:t xml:space="preserve">                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1582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DC03A4" w:rsidRDefault="009D1ABD" w:rsidP="001E187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27" w:rsidRPr="000C0A49" w:rsidRDefault="00415827" w:rsidP="008D5E60">
            <w:pPr>
              <w:tabs>
                <w:tab w:val="left" w:pos="2300"/>
                <w:tab w:val="center" w:pos="4677"/>
              </w:tabs>
              <w:spacing w:before="120" w:after="0" w:line="240" w:lineRule="auto"/>
              <w:jc w:val="both"/>
              <w:rPr>
                <w:b/>
                <w:smallCap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9D1ABD">
              <w:rPr>
                <w:rFonts w:ascii="Times New Roman" w:hAnsi="Times New Roman"/>
                <w:smallCaps/>
                <w:sz w:val="27"/>
                <w:szCs w:val="27"/>
              </w:rPr>
              <w:t xml:space="preserve"> М 1:5</w:t>
            </w:r>
            <w:r w:rsidRPr="000C0A49">
              <w:rPr>
                <w:rFonts w:ascii="Times New Roman" w:hAnsi="Times New Roman"/>
                <w:smallCaps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90" w:rsidRDefault="00867E90" w:rsidP="009D49DC">
      <w:pPr>
        <w:spacing w:after="0" w:line="240" w:lineRule="auto"/>
      </w:pPr>
      <w:r>
        <w:separator/>
      </w:r>
    </w:p>
  </w:endnote>
  <w:endnote w:type="continuationSeparator" w:id="0">
    <w:p w:rsidR="00867E90" w:rsidRDefault="00867E9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89660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90" w:rsidRDefault="00867E90" w:rsidP="009D49DC">
      <w:pPr>
        <w:spacing w:after="0" w:line="240" w:lineRule="auto"/>
      </w:pPr>
      <w:r>
        <w:separator/>
      </w:r>
    </w:p>
  </w:footnote>
  <w:footnote w:type="continuationSeparator" w:id="0">
    <w:p w:rsidR="00867E90" w:rsidRDefault="00867E9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DCA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67E90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48E1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CBF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E59"/>
  <w15:docId w15:val="{DF109B57-91B7-4C6E-921F-AB9CC49E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5FFC-4387-42E7-98FF-5E270E3B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219</cp:revision>
  <cp:lastPrinted>2019-02-22T07:05:00Z</cp:lastPrinted>
  <dcterms:created xsi:type="dcterms:W3CDTF">2014-05-27T07:47:00Z</dcterms:created>
  <dcterms:modified xsi:type="dcterms:W3CDTF">2019-02-27T11:15:00Z</dcterms:modified>
</cp:coreProperties>
</file>