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CB" w:rsidRDefault="005123CB" w:rsidP="005123CB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5123CB" w:rsidRDefault="005123CB" w:rsidP="005123C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123CB" w:rsidRDefault="005123CB" w:rsidP="005123C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123CB" w:rsidRDefault="005123CB" w:rsidP="005123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</w:t>
      </w:r>
      <w:r>
        <w:rPr>
          <w:rFonts w:ascii="Times New Roman" w:hAnsi="Times New Roman"/>
          <w:color w:val="000000"/>
          <w:spacing w:val="-2"/>
          <w:u w:val="single"/>
        </w:rPr>
        <w:t xml:space="preserve">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января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92</w:t>
      </w:r>
    </w:p>
    <w:p w:rsidR="003453C1" w:rsidRPr="00837C50" w:rsidRDefault="003453C1" w:rsidP="003453C1">
      <w:pPr>
        <w:contextualSpacing/>
        <w:jc w:val="center"/>
        <w:rPr>
          <w:b/>
          <w:sz w:val="26"/>
          <w:szCs w:val="26"/>
        </w:rPr>
      </w:pPr>
      <w:r w:rsidRPr="00837C50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планировке территории, ограниченной ул. Волгоградская, пер. </w:t>
      </w:r>
      <w:proofErr w:type="gramStart"/>
      <w:r w:rsidR="00FD3E00">
        <w:rPr>
          <w:rFonts w:ascii="Times New Roman" w:hAnsi="Times New Roman"/>
          <w:b/>
          <w:sz w:val="26"/>
          <w:szCs w:val="26"/>
        </w:rPr>
        <w:t xml:space="preserve">Иркутский,   </w:t>
      </w:r>
      <w:proofErr w:type="gramEnd"/>
      <w:r w:rsidR="00FD3E00">
        <w:rPr>
          <w:rFonts w:ascii="Times New Roman" w:hAnsi="Times New Roman"/>
          <w:b/>
          <w:sz w:val="26"/>
          <w:szCs w:val="26"/>
        </w:rPr>
        <w:t xml:space="preserve">                р. Тавла, 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ул. Стрелецкая, ул. Курска</w:t>
      </w:r>
      <w:r w:rsidR="008B595C">
        <w:rPr>
          <w:rFonts w:ascii="Times New Roman" w:hAnsi="Times New Roman"/>
          <w:b/>
          <w:sz w:val="26"/>
          <w:szCs w:val="26"/>
        </w:rPr>
        <w:t>я</w:t>
      </w:r>
      <w:r w:rsidR="00FD3E00">
        <w:rPr>
          <w:rFonts w:ascii="Times New Roman" w:hAnsi="Times New Roman"/>
          <w:b/>
          <w:sz w:val="26"/>
          <w:szCs w:val="26"/>
        </w:rPr>
        <w:t xml:space="preserve">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9F1818">
        <w:rPr>
          <w:rFonts w:ascii="Times New Roman" w:hAnsi="Times New Roman"/>
          <w:sz w:val="26"/>
          <w:szCs w:val="26"/>
        </w:rPr>
        <w:t>Принимая во внимание письмо общества с ограниченной ответственностью «ДСК-Проект» от 2</w:t>
      </w:r>
      <w:r w:rsidR="0016151E">
        <w:rPr>
          <w:rFonts w:ascii="Times New Roman" w:hAnsi="Times New Roman"/>
          <w:sz w:val="26"/>
          <w:szCs w:val="26"/>
        </w:rPr>
        <w:t>5</w:t>
      </w:r>
      <w:r w:rsidR="009F1818">
        <w:rPr>
          <w:rFonts w:ascii="Times New Roman" w:hAnsi="Times New Roman"/>
          <w:sz w:val="26"/>
          <w:szCs w:val="26"/>
        </w:rPr>
        <w:t xml:space="preserve"> декабря 2018 года № </w:t>
      </w:r>
      <w:r w:rsidR="0016151E">
        <w:rPr>
          <w:rFonts w:ascii="Times New Roman" w:hAnsi="Times New Roman"/>
          <w:sz w:val="26"/>
          <w:szCs w:val="26"/>
        </w:rPr>
        <w:t>84</w:t>
      </w:r>
      <w:r w:rsidR="009F1818">
        <w:rPr>
          <w:rFonts w:ascii="Times New Roman" w:hAnsi="Times New Roman"/>
          <w:sz w:val="26"/>
          <w:szCs w:val="26"/>
        </w:rPr>
        <w:t>, 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 </w:t>
      </w:r>
      <w:r w:rsidR="009F1818">
        <w:rPr>
          <w:rFonts w:ascii="Times New Roman" w:hAnsi="Times New Roman"/>
          <w:sz w:val="26"/>
          <w:szCs w:val="26"/>
        </w:rPr>
        <w:t xml:space="preserve">      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2F1E5A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            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16151E">
        <w:rPr>
          <w:rFonts w:ascii="Times New Roman" w:hAnsi="Times New Roman"/>
          <w:sz w:val="26"/>
          <w:szCs w:val="26"/>
        </w:rPr>
        <w:t>4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16151E">
        <w:rPr>
          <w:rFonts w:ascii="Times New Roman" w:hAnsi="Times New Roman"/>
          <w:sz w:val="26"/>
          <w:szCs w:val="26"/>
        </w:rPr>
        <w:t>декабря</w:t>
      </w:r>
      <w:r w:rsidR="00CD7175">
        <w:rPr>
          <w:rFonts w:ascii="Times New Roman" w:hAnsi="Times New Roman"/>
          <w:sz w:val="26"/>
          <w:szCs w:val="26"/>
        </w:rPr>
        <w:t xml:space="preserve"> 201</w:t>
      </w:r>
      <w:r w:rsidR="0016151E">
        <w:rPr>
          <w:rFonts w:ascii="Times New Roman" w:hAnsi="Times New Roman"/>
          <w:sz w:val="26"/>
          <w:szCs w:val="26"/>
        </w:rPr>
        <w:t>3</w:t>
      </w:r>
      <w:r w:rsidR="00CD7175">
        <w:rPr>
          <w:rFonts w:ascii="Times New Roman" w:hAnsi="Times New Roman"/>
          <w:sz w:val="26"/>
          <w:szCs w:val="26"/>
        </w:rPr>
        <w:t xml:space="preserve"> года № </w:t>
      </w:r>
      <w:r w:rsidR="0016151E">
        <w:rPr>
          <w:rFonts w:ascii="Times New Roman" w:hAnsi="Times New Roman"/>
          <w:sz w:val="26"/>
          <w:szCs w:val="26"/>
        </w:rPr>
        <w:t>3217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16151E" w:rsidRPr="0016151E">
        <w:rPr>
          <w:rFonts w:ascii="Times New Roman" w:hAnsi="Times New Roman"/>
          <w:sz w:val="26"/>
          <w:szCs w:val="26"/>
        </w:rPr>
        <w:t>по планировке территории, ограниченной ул. Волгоградская, пер. Иркутский, р. Тавла, ул. Тамбовская г. Саранска, включая проект межевания»</w:t>
      </w:r>
      <w:r w:rsidR="0016151E">
        <w:rPr>
          <w:rFonts w:ascii="Times New Roman" w:hAnsi="Times New Roman"/>
          <w:sz w:val="26"/>
          <w:szCs w:val="26"/>
        </w:rPr>
        <w:t xml:space="preserve"> (с изменениями, внесенными постановлением Администрации городского округа Саранск от 23 апреля 2018 года № 954)</w:t>
      </w:r>
      <w:r w:rsidR="00CD7175" w:rsidRPr="0016151E">
        <w:rPr>
          <w:rFonts w:ascii="Times New Roman" w:hAnsi="Times New Roman"/>
          <w:sz w:val="26"/>
          <w:szCs w:val="26"/>
        </w:rPr>
        <w:t xml:space="preserve">, </w:t>
      </w:r>
      <w:r w:rsidR="008B711E" w:rsidRPr="00837C50">
        <w:rPr>
          <w:rFonts w:ascii="Times New Roman" w:hAnsi="Times New Roman"/>
          <w:sz w:val="26"/>
          <w:szCs w:val="26"/>
        </w:rPr>
        <w:t xml:space="preserve">постановлением </w:t>
      </w:r>
      <w:r w:rsidR="00447CA7" w:rsidRPr="00837C50">
        <w:rPr>
          <w:rFonts w:ascii="Times New Roman" w:hAnsi="Times New Roman"/>
          <w:sz w:val="26"/>
          <w:szCs w:val="26"/>
        </w:rPr>
        <w:t>А</w:t>
      </w:r>
      <w:r w:rsidR="00B35202" w:rsidRPr="00837C50">
        <w:rPr>
          <w:rFonts w:ascii="Times New Roman" w:hAnsi="Times New Roman"/>
          <w:sz w:val="26"/>
          <w:szCs w:val="26"/>
        </w:rPr>
        <w:t xml:space="preserve">дминистрации городского округа </w:t>
      </w:r>
      <w:r w:rsidRPr="00837C50">
        <w:rPr>
          <w:rFonts w:ascii="Times New Roman" w:hAnsi="Times New Roman"/>
          <w:sz w:val="26"/>
          <w:szCs w:val="26"/>
        </w:rPr>
        <w:t xml:space="preserve">Саранск </w:t>
      </w:r>
      <w:r w:rsidR="00447CA7" w:rsidRPr="00837C50">
        <w:rPr>
          <w:rFonts w:ascii="Times New Roman" w:hAnsi="Times New Roman"/>
          <w:sz w:val="26"/>
          <w:szCs w:val="26"/>
        </w:rPr>
        <w:t xml:space="preserve">от </w:t>
      </w:r>
      <w:r w:rsidR="0016151E">
        <w:rPr>
          <w:rFonts w:ascii="Times New Roman" w:hAnsi="Times New Roman"/>
          <w:sz w:val="26"/>
          <w:szCs w:val="26"/>
        </w:rPr>
        <w:t>13</w:t>
      </w:r>
      <w:r w:rsidR="00447CA7" w:rsidRPr="00837C50">
        <w:rPr>
          <w:rFonts w:ascii="Times New Roman" w:hAnsi="Times New Roman"/>
          <w:sz w:val="26"/>
          <w:szCs w:val="26"/>
        </w:rPr>
        <w:t xml:space="preserve"> </w:t>
      </w:r>
      <w:r w:rsidR="0016151E">
        <w:rPr>
          <w:rFonts w:ascii="Times New Roman" w:hAnsi="Times New Roman"/>
          <w:sz w:val="26"/>
          <w:szCs w:val="26"/>
        </w:rPr>
        <w:t>августа</w:t>
      </w:r>
      <w:r w:rsidR="00837C50">
        <w:rPr>
          <w:rFonts w:ascii="Times New Roman" w:hAnsi="Times New Roman"/>
          <w:sz w:val="26"/>
          <w:szCs w:val="26"/>
        </w:rPr>
        <w:t xml:space="preserve"> </w:t>
      </w:r>
      <w:r w:rsidR="00447CA7" w:rsidRPr="00837C50">
        <w:rPr>
          <w:rFonts w:ascii="Times New Roman" w:hAnsi="Times New Roman"/>
          <w:sz w:val="26"/>
          <w:szCs w:val="26"/>
        </w:rPr>
        <w:t>20</w:t>
      </w:r>
      <w:r w:rsidR="008B711E" w:rsidRPr="00837C50">
        <w:rPr>
          <w:rFonts w:ascii="Times New Roman" w:hAnsi="Times New Roman"/>
          <w:sz w:val="26"/>
          <w:szCs w:val="26"/>
        </w:rPr>
        <w:t>1</w:t>
      </w:r>
      <w:r w:rsidR="00CD7175">
        <w:rPr>
          <w:rFonts w:ascii="Times New Roman" w:hAnsi="Times New Roman"/>
          <w:sz w:val="26"/>
          <w:szCs w:val="26"/>
        </w:rPr>
        <w:t>8</w:t>
      </w:r>
      <w:r w:rsidR="009F1818">
        <w:rPr>
          <w:rFonts w:ascii="Times New Roman" w:hAnsi="Times New Roman"/>
          <w:sz w:val="26"/>
          <w:szCs w:val="26"/>
        </w:rPr>
        <w:t xml:space="preserve"> года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16151E">
        <w:rPr>
          <w:rFonts w:ascii="Times New Roman" w:hAnsi="Times New Roman"/>
          <w:sz w:val="26"/>
          <w:szCs w:val="26"/>
        </w:rPr>
        <w:t xml:space="preserve">          </w:t>
      </w:r>
      <w:r w:rsidR="00447CA7" w:rsidRPr="00837C50">
        <w:rPr>
          <w:rFonts w:ascii="Times New Roman" w:hAnsi="Times New Roman"/>
          <w:sz w:val="26"/>
          <w:szCs w:val="26"/>
        </w:rPr>
        <w:t xml:space="preserve">№ </w:t>
      </w:r>
      <w:r w:rsidR="0016151E">
        <w:rPr>
          <w:rFonts w:ascii="Times New Roman" w:hAnsi="Times New Roman"/>
          <w:sz w:val="26"/>
          <w:szCs w:val="26"/>
        </w:rPr>
        <w:t>1831</w:t>
      </w:r>
      <w:r w:rsidR="00447CA7" w:rsidRPr="00837C50">
        <w:rPr>
          <w:rFonts w:ascii="Times New Roman" w:hAnsi="Times New Roman"/>
          <w:sz w:val="26"/>
          <w:szCs w:val="26"/>
        </w:rPr>
        <w:t xml:space="preserve"> «</w:t>
      </w:r>
      <w:r w:rsidR="008B6DED">
        <w:rPr>
          <w:rFonts w:ascii="Times New Roman" w:hAnsi="Times New Roman"/>
          <w:sz w:val="26"/>
          <w:szCs w:val="26"/>
        </w:rPr>
        <w:t xml:space="preserve">О подготовке </w:t>
      </w:r>
      <w:r w:rsidR="00CD7175" w:rsidRPr="00CD7175">
        <w:rPr>
          <w:rFonts w:ascii="Times New Roman" w:hAnsi="Times New Roman"/>
          <w:sz w:val="26"/>
          <w:szCs w:val="26"/>
        </w:rPr>
        <w:t xml:space="preserve">документации </w:t>
      </w:r>
      <w:r w:rsidR="0016151E" w:rsidRPr="0016151E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ул. Волгоградская, пер. Иркутский, р. Тавла, </w:t>
      </w:r>
      <w:r w:rsidR="0016151E">
        <w:rPr>
          <w:rFonts w:ascii="Times New Roman" w:hAnsi="Times New Roman"/>
          <w:sz w:val="26"/>
          <w:szCs w:val="26"/>
        </w:rPr>
        <w:t xml:space="preserve">          </w:t>
      </w:r>
      <w:r w:rsidR="0016151E" w:rsidRPr="0016151E">
        <w:rPr>
          <w:rFonts w:ascii="Times New Roman" w:hAnsi="Times New Roman"/>
          <w:sz w:val="26"/>
          <w:szCs w:val="26"/>
        </w:rPr>
        <w:t xml:space="preserve">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</w:t>
      </w:r>
      <w:r w:rsidR="0016151E">
        <w:rPr>
          <w:rFonts w:ascii="Times New Roman" w:hAnsi="Times New Roman"/>
          <w:sz w:val="26"/>
          <w:szCs w:val="26"/>
        </w:rPr>
        <w:t xml:space="preserve">                   </w:t>
      </w:r>
      <w:r w:rsidR="0016151E" w:rsidRPr="0016151E">
        <w:rPr>
          <w:rFonts w:ascii="Times New Roman" w:hAnsi="Times New Roman"/>
          <w:sz w:val="26"/>
          <w:szCs w:val="26"/>
        </w:rPr>
        <w:t>ул. Стрелецкая, ул. Курска</w:t>
      </w:r>
      <w:r w:rsidR="008B595C">
        <w:rPr>
          <w:rFonts w:ascii="Times New Roman" w:hAnsi="Times New Roman"/>
          <w:sz w:val="26"/>
          <w:szCs w:val="26"/>
        </w:rPr>
        <w:t>я</w:t>
      </w:r>
      <w:r w:rsidR="0016151E" w:rsidRPr="0016151E">
        <w:rPr>
          <w:rFonts w:ascii="Times New Roman" w:hAnsi="Times New Roman"/>
          <w:sz w:val="26"/>
          <w:szCs w:val="26"/>
        </w:rPr>
        <w:t xml:space="preserve"> г. Саранска</w:t>
      </w:r>
      <w:r w:rsidR="008B711E" w:rsidRPr="00837C50">
        <w:rPr>
          <w:rFonts w:ascii="Times New Roman" w:hAnsi="Times New Roman"/>
          <w:sz w:val="26"/>
          <w:szCs w:val="26"/>
        </w:rPr>
        <w:t>»</w:t>
      </w:r>
      <w:r w:rsidR="00C10D11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Главы городского округа Саранск от </w:t>
      </w:r>
      <w:r w:rsidR="00A76717">
        <w:rPr>
          <w:rFonts w:ascii="Times New Roman" w:hAnsi="Times New Roman"/>
          <w:sz w:val="26"/>
          <w:szCs w:val="26"/>
        </w:rPr>
        <w:t>15</w:t>
      </w:r>
      <w:r w:rsidR="008B6DED">
        <w:rPr>
          <w:rFonts w:ascii="Times New Roman" w:hAnsi="Times New Roman"/>
          <w:sz w:val="26"/>
          <w:szCs w:val="26"/>
        </w:rPr>
        <w:t xml:space="preserve"> ноября 2018 года № 3</w:t>
      </w:r>
      <w:r w:rsidR="00A76717">
        <w:rPr>
          <w:rFonts w:ascii="Times New Roman" w:hAnsi="Times New Roman"/>
          <w:sz w:val="26"/>
          <w:szCs w:val="26"/>
        </w:rPr>
        <w:t>71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документации </w:t>
      </w:r>
      <w:r w:rsidR="00A76717" w:rsidRPr="00A76717">
        <w:rPr>
          <w:rFonts w:ascii="Times New Roman" w:hAnsi="Times New Roman"/>
          <w:sz w:val="26"/>
          <w:szCs w:val="26"/>
        </w:rPr>
        <w:t>по внесению изменений в документацию по планировке территории, ограниченной ул. Волгоградская,</w:t>
      </w:r>
      <w:r w:rsidR="00A76717">
        <w:rPr>
          <w:rFonts w:ascii="Times New Roman" w:hAnsi="Times New Roman"/>
          <w:sz w:val="26"/>
          <w:szCs w:val="26"/>
        </w:rPr>
        <w:t xml:space="preserve"> </w:t>
      </w:r>
      <w:r w:rsidR="00A76717" w:rsidRPr="00A76717">
        <w:rPr>
          <w:rFonts w:ascii="Times New Roman" w:hAnsi="Times New Roman"/>
          <w:sz w:val="26"/>
          <w:szCs w:val="26"/>
        </w:rPr>
        <w:t>пер. Иркутский, р. Тавла, 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ул. Стрелецкая, ул. Курска</w:t>
      </w:r>
      <w:r w:rsidR="008B595C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      </w:t>
      </w:r>
      <w:r w:rsidR="00A76717" w:rsidRPr="00A76717">
        <w:rPr>
          <w:rFonts w:ascii="Times New Roman" w:hAnsi="Times New Roman"/>
          <w:sz w:val="26"/>
          <w:szCs w:val="26"/>
        </w:rPr>
        <w:t xml:space="preserve"> 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00473C" w:rsidRPr="00837C50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62355C" w:rsidRPr="00837C50">
        <w:rPr>
          <w:rFonts w:ascii="Times New Roman" w:hAnsi="Times New Roman"/>
          <w:sz w:val="26"/>
          <w:szCs w:val="26"/>
        </w:rPr>
        <w:t>по</w:t>
      </w:r>
      <w:r w:rsidR="001F63A0">
        <w:rPr>
          <w:rFonts w:ascii="Times New Roman" w:hAnsi="Times New Roman"/>
          <w:sz w:val="26"/>
          <w:szCs w:val="26"/>
        </w:rPr>
        <w:t xml:space="preserve"> </w:t>
      </w:r>
      <w:r w:rsidR="00A76717">
        <w:rPr>
          <w:rFonts w:ascii="Times New Roman" w:hAnsi="Times New Roman"/>
          <w:sz w:val="26"/>
          <w:szCs w:val="26"/>
        </w:rPr>
        <w:t>документации по внесению изменений в документацию по планировке территории (проект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8B595C">
        <w:rPr>
          <w:rFonts w:ascii="Times New Roman" w:hAnsi="Times New Roman"/>
          <w:sz w:val="26"/>
          <w:szCs w:val="26"/>
        </w:rPr>
        <w:t>4 декабря</w:t>
      </w:r>
      <w:r w:rsidR="0000473C" w:rsidRPr="00837C50">
        <w:rPr>
          <w:rFonts w:ascii="Times New Roman" w:hAnsi="Times New Roman"/>
          <w:sz w:val="26"/>
          <w:szCs w:val="26"/>
        </w:rPr>
        <w:t xml:space="preserve"> 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837C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 xml:space="preserve">ых слушаний, </w:t>
      </w:r>
      <w:r w:rsidR="006C0F84" w:rsidRPr="00837C50">
        <w:rPr>
          <w:rFonts w:ascii="Times New Roman" w:hAnsi="Times New Roman"/>
          <w:sz w:val="26"/>
          <w:szCs w:val="26"/>
        </w:rPr>
        <w:lastRenderedPageBreak/>
        <w:t>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A76717">
        <w:rPr>
          <w:rFonts w:ascii="Times New Roman" w:hAnsi="Times New Roman"/>
          <w:sz w:val="26"/>
          <w:szCs w:val="26"/>
        </w:rPr>
        <w:t>19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CF6DD5">
        <w:rPr>
          <w:rFonts w:ascii="Times New Roman" w:hAnsi="Times New Roman"/>
          <w:sz w:val="26"/>
          <w:szCs w:val="26"/>
        </w:rPr>
        <w:t>декабря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DF0D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</w:t>
      </w:r>
      <w:r w:rsidR="00A76717">
        <w:rPr>
          <w:rFonts w:ascii="Times New Roman" w:hAnsi="Times New Roman"/>
          <w:sz w:val="26"/>
          <w:szCs w:val="26"/>
        </w:rPr>
        <w:t>50</w:t>
      </w:r>
      <w:r w:rsidR="009F1818">
        <w:rPr>
          <w:rFonts w:ascii="Times New Roman" w:hAnsi="Times New Roman"/>
          <w:sz w:val="26"/>
          <w:szCs w:val="26"/>
        </w:rPr>
        <w:t xml:space="preserve"> (137</w:t>
      </w:r>
      <w:r w:rsidR="00A76717">
        <w:rPr>
          <w:rFonts w:ascii="Times New Roman" w:hAnsi="Times New Roman"/>
          <w:sz w:val="26"/>
          <w:szCs w:val="26"/>
        </w:rPr>
        <w:t>2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0F6144" w:rsidRPr="00837C50">
        <w:rPr>
          <w:rFonts w:ascii="Times New Roman" w:hAnsi="Times New Roman"/>
          <w:sz w:val="26"/>
          <w:szCs w:val="26"/>
        </w:rPr>
        <w:t>документацию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A76717" w:rsidRPr="00A76717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ул. Волгоградская, пер. Иркутский, р. </w:t>
      </w:r>
      <w:proofErr w:type="gramStart"/>
      <w:r w:rsidR="00A76717" w:rsidRPr="00A76717">
        <w:rPr>
          <w:rFonts w:ascii="Times New Roman" w:hAnsi="Times New Roman"/>
          <w:sz w:val="26"/>
          <w:szCs w:val="26"/>
        </w:rPr>
        <w:t xml:space="preserve">Тавла, </w:t>
      </w:r>
      <w:r w:rsidR="00A7671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A76717">
        <w:rPr>
          <w:rFonts w:ascii="Times New Roman" w:hAnsi="Times New Roman"/>
          <w:sz w:val="26"/>
          <w:szCs w:val="26"/>
        </w:rPr>
        <w:t xml:space="preserve">        </w:t>
      </w:r>
      <w:r w:rsidR="00A76717" w:rsidRPr="00A76717">
        <w:rPr>
          <w:rFonts w:ascii="Times New Roman" w:hAnsi="Times New Roman"/>
          <w:sz w:val="26"/>
          <w:szCs w:val="26"/>
        </w:rPr>
        <w:t xml:space="preserve">ул. Тамбовская г. Саранска, включая проект межевания, в части изменения планировки территории (проект межевания территории), ограниченной ул. </w:t>
      </w:r>
      <w:proofErr w:type="gramStart"/>
      <w:r w:rsidR="00A76717" w:rsidRPr="00A76717">
        <w:rPr>
          <w:rFonts w:ascii="Times New Roman" w:hAnsi="Times New Roman"/>
          <w:sz w:val="26"/>
          <w:szCs w:val="26"/>
        </w:rPr>
        <w:t xml:space="preserve">Волгоградская, </w:t>
      </w:r>
      <w:r w:rsidR="00A7671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A76717">
        <w:rPr>
          <w:rFonts w:ascii="Times New Roman" w:hAnsi="Times New Roman"/>
          <w:sz w:val="26"/>
          <w:szCs w:val="26"/>
        </w:rPr>
        <w:t xml:space="preserve">                </w:t>
      </w:r>
      <w:r w:rsidR="00A76717" w:rsidRPr="00A76717">
        <w:rPr>
          <w:rFonts w:ascii="Times New Roman" w:hAnsi="Times New Roman"/>
          <w:sz w:val="26"/>
          <w:szCs w:val="26"/>
        </w:rPr>
        <w:t>ул. Стрелецкая, ул. Курска</w:t>
      </w:r>
      <w:r w:rsidR="008B595C">
        <w:rPr>
          <w:rFonts w:ascii="Times New Roman" w:hAnsi="Times New Roman"/>
          <w:sz w:val="26"/>
          <w:szCs w:val="26"/>
        </w:rPr>
        <w:t>я</w:t>
      </w:r>
      <w:r w:rsidR="00A76717" w:rsidRPr="00A76717">
        <w:rPr>
          <w:rFonts w:ascii="Times New Roman" w:hAnsi="Times New Roman"/>
          <w:sz w:val="26"/>
          <w:szCs w:val="26"/>
        </w:rPr>
        <w:t xml:space="preserve"> г. Саранска</w:t>
      </w:r>
      <w:r w:rsidR="00E06AE3">
        <w:rPr>
          <w:rFonts w:ascii="Times New Roman" w:hAnsi="Times New Roman"/>
          <w:sz w:val="26"/>
          <w:szCs w:val="26"/>
        </w:rPr>
        <w:t>,</w:t>
      </w:r>
      <w:r w:rsidR="0051581D" w:rsidRPr="00837C50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A76717">
        <w:rPr>
          <w:rFonts w:ascii="Times New Roman" w:hAnsi="Times New Roman"/>
          <w:sz w:val="26"/>
          <w:szCs w:val="26"/>
        </w:rPr>
        <w:t>ОО</w:t>
      </w:r>
      <w:r w:rsidR="00FB5A66">
        <w:rPr>
          <w:rFonts w:ascii="Times New Roman" w:hAnsi="Times New Roman"/>
          <w:sz w:val="26"/>
          <w:szCs w:val="26"/>
        </w:rPr>
        <w:t>О «</w:t>
      </w:r>
      <w:r w:rsidR="00A76717">
        <w:rPr>
          <w:rFonts w:ascii="Times New Roman" w:hAnsi="Times New Roman"/>
          <w:sz w:val="26"/>
          <w:szCs w:val="26"/>
        </w:rPr>
        <w:t>ДСК-Проект</w:t>
      </w:r>
      <w:r w:rsidR="00FB5A66">
        <w:rPr>
          <w:rFonts w:ascii="Times New Roman" w:hAnsi="Times New Roman"/>
          <w:sz w:val="26"/>
          <w:szCs w:val="26"/>
        </w:rPr>
        <w:t>»</w:t>
      </w:r>
      <w:r w:rsidR="00531CCE" w:rsidRPr="00837C50">
        <w:rPr>
          <w:rFonts w:ascii="Times New Roman" w:hAnsi="Times New Roman"/>
          <w:sz w:val="26"/>
          <w:szCs w:val="26"/>
        </w:rPr>
        <w:t>)</w:t>
      </w:r>
      <w:r w:rsidR="00770FF4" w:rsidRPr="00837C50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123CB" w:rsidRDefault="005123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5123CB">
        <w:rPr>
          <w:rFonts w:ascii="Times New Roman" w:hAnsi="Times New Roman"/>
          <w:sz w:val="26"/>
          <w:szCs w:val="26"/>
        </w:rPr>
        <w:t>24</w:t>
      </w:r>
      <w:r w:rsidRPr="00A72F8B">
        <w:rPr>
          <w:rFonts w:ascii="Times New Roman" w:hAnsi="Times New Roman"/>
          <w:sz w:val="26"/>
          <w:szCs w:val="26"/>
        </w:rPr>
        <w:t>»</w:t>
      </w:r>
      <w:r w:rsidR="005123CB">
        <w:rPr>
          <w:rFonts w:ascii="Times New Roman" w:hAnsi="Times New Roman"/>
          <w:sz w:val="26"/>
          <w:szCs w:val="26"/>
        </w:rPr>
        <w:t xml:space="preserve"> января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5123CB">
        <w:rPr>
          <w:rFonts w:ascii="Times New Roman" w:hAnsi="Times New Roman"/>
          <w:sz w:val="26"/>
          <w:szCs w:val="26"/>
        </w:rPr>
        <w:t>92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CF6DD5" w:rsidRPr="00837C50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A76717" w:rsidRPr="00837C50">
        <w:rPr>
          <w:rFonts w:ascii="Times New Roman" w:hAnsi="Times New Roman"/>
          <w:b/>
          <w:sz w:val="26"/>
          <w:szCs w:val="26"/>
        </w:rPr>
        <w:t xml:space="preserve">по </w:t>
      </w:r>
      <w:r w:rsidR="00A76717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планировке территории, ограниченной ул. Волгоградская, пер. Иркутский, р. </w:t>
      </w:r>
      <w:proofErr w:type="gramStart"/>
      <w:r w:rsidR="00A76717">
        <w:rPr>
          <w:rFonts w:ascii="Times New Roman" w:hAnsi="Times New Roman"/>
          <w:b/>
          <w:sz w:val="26"/>
          <w:szCs w:val="26"/>
        </w:rPr>
        <w:t xml:space="preserve">Тавла,   </w:t>
      </w:r>
      <w:proofErr w:type="gramEnd"/>
      <w:r w:rsidR="00A76717">
        <w:rPr>
          <w:rFonts w:ascii="Times New Roman" w:hAnsi="Times New Roman"/>
          <w:b/>
          <w:sz w:val="26"/>
          <w:szCs w:val="26"/>
        </w:rPr>
        <w:t xml:space="preserve">                   ул. Тамбовская г. Саранска, включая проект межевания, в части изменения планировки территории (проект межевания территории), ограниченной                      ул. Волгоградская, ул. Стрелецкая, ул. Курска</w:t>
      </w:r>
      <w:r w:rsidR="008B595C">
        <w:rPr>
          <w:rFonts w:ascii="Times New Roman" w:hAnsi="Times New Roman"/>
          <w:b/>
          <w:sz w:val="26"/>
          <w:szCs w:val="26"/>
        </w:rPr>
        <w:t>я</w:t>
      </w:r>
      <w:r w:rsidR="00A76717">
        <w:rPr>
          <w:rFonts w:ascii="Times New Roman" w:hAnsi="Times New Roman"/>
          <w:b/>
          <w:sz w:val="26"/>
          <w:szCs w:val="26"/>
        </w:rPr>
        <w:t xml:space="preserve"> г. Саранска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F75600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F75600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F75600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44FA" w:rsidRPr="00952EF8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0844FA" w:rsidRPr="00952EF8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12594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12594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DB0865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элементов планировочной структуры в составе ранее разработанной документации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DB0865"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DB0865" w:rsidP="00DB0865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(1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0865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65" w:rsidRPr="00952EF8" w:rsidRDefault="00DB0865" w:rsidP="00DB0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65" w:rsidRPr="00952EF8" w:rsidRDefault="00DB0865" w:rsidP="00DB0865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(2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0865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65" w:rsidRPr="00952EF8" w:rsidRDefault="00DB0865" w:rsidP="00DB0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65" w:rsidRPr="00952EF8" w:rsidRDefault="00DB0865" w:rsidP="007A015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>Чертеж границ зон действия публичных сервитутов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B0865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65" w:rsidRPr="00952EF8" w:rsidRDefault="00DB0865" w:rsidP="00DB0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65" w:rsidRPr="00952EF8" w:rsidRDefault="00DB0865" w:rsidP="009B3B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DB0865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65" w:rsidRPr="00952EF8" w:rsidRDefault="00DB0865" w:rsidP="009B3B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65" w:rsidRPr="00952EF8" w:rsidRDefault="00DB0865" w:rsidP="009B3B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D7" w:rsidRDefault="006B27D7" w:rsidP="009D49DC">
      <w:pPr>
        <w:spacing w:after="0" w:line="240" w:lineRule="auto"/>
      </w:pPr>
      <w:r>
        <w:separator/>
      </w:r>
    </w:p>
  </w:endnote>
  <w:endnote w:type="continuationSeparator" w:id="0">
    <w:p w:rsidR="006B27D7" w:rsidRDefault="006B27D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D673F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D7" w:rsidRDefault="006B27D7" w:rsidP="009D49DC">
      <w:pPr>
        <w:spacing w:after="0" w:line="240" w:lineRule="auto"/>
      </w:pPr>
      <w:r>
        <w:separator/>
      </w:r>
    </w:p>
  </w:footnote>
  <w:footnote w:type="continuationSeparator" w:id="0">
    <w:p w:rsidR="006B27D7" w:rsidRDefault="006B27D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4158"/>
    <w:rsid w:val="00027134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6151E"/>
    <w:rsid w:val="00173D98"/>
    <w:rsid w:val="001A1434"/>
    <w:rsid w:val="001B051F"/>
    <w:rsid w:val="001C7DF6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65599"/>
    <w:rsid w:val="00365792"/>
    <w:rsid w:val="00367F7B"/>
    <w:rsid w:val="003728A4"/>
    <w:rsid w:val="0037667D"/>
    <w:rsid w:val="0039723F"/>
    <w:rsid w:val="003A4389"/>
    <w:rsid w:val="003A7D91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23CB"/>
    <w:rsid w:val="005136F3"/>
    <w:rsid w:val="00514226"/>
    <w:rsid w:val="0051581D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A334F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27D7"/>
    <w:rsid w:val="006B6E8F"/>
    <w:rsid w:val="006C0F84"/>
    <w:rsid w:val="006C19EE"/>
    <w:rsid w:val="006D7D0A"/>
    <w:rsid w:val="006E11AD"/>
    <w:rsid w:val="006E179B"/>
    <w:rsid w:val="006E5D9C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304F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7849"/>
    <w:rsid w:val="00902640"/>
    <w:rsid w:val="00904F35"/>
    <w:rsid w:val="00915287"/>
    <w:rsid w:val="00916C2F"/>
    <w:rsid w:val="00931C23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33DE"/>
    <w:rsid w:val="009F4123"/>
    <w:rsid w:val="00A007C9"/>
    <w:rsid w:val="00A057E1"/>
    <w:rsid w:val="00A148E6"/>
    <w:rsid w:val="00A20298"/>
    <w:rsid w:val="00A20BFE"/>
    <w:rsid w:val="00A26681"/>
    <w:rsid w:val="00A40452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5DC3"/>
    <w:rsid w:val="00BC7563"/>
    <w:rsid w:val="00BD0D0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F0D50"/>
    <w:rsid w:val="00E01C3B"/>
    <w:rsid w:val="00E05C37"/>
    <w:rsid w:val="00E06AE3"/>
    <w:rsid w:val="00E573CB"/>
    <w:rsid w:val="00E715E8"/>
    <w:rsid w:val="00E71C53"/>
    <w:rsid w:val="00E735E2"/>
    <w:rsid w:val="00E75FE7"/>
    <w:rsid w:val="00E801FF"/>
    <w:rsid w:val="00E8403B"/>
    <w:rsid w:val="00E91947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F6A7D"/>
    <w:rsid w:val="00F02D8A"/>
    <w:rsid w:val="00F03BA4"/>
    <w:rsid w:val="00F04020"/>
    <w:rsid w:val="00F12A68"/>
    <w:rsid w:val="00F12DAF"/>
    <w:rsid w:val="00F257B0"/>
    <w:rsid w:val="00F31AE7"/>
    <w:rsid w:val="00F56839"/>
    <w:rsid w:val="00F658CD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AA26"/>
  <w15:docId w15:val="{59F92A29-427A-4EDE-9466-4399CEA0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70</cp:revision>
  <cp:lastPrinted>2019-01-17T12:19:00Z</cp:lastPrinted>
  <dcterms:created xsi:type="dcterms:W3CDTF">2014-05-27T07:47:00Z</dcterms:created>
  <dcterms:modified xsi:type="dcterms:W3CDTF">2019-01-25T09:53:00Z</dcterms:modified>
</cp:coreProperties>
</file>